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horzAnchor="margin" w:tblpX="126" w:tblpY="1015"/>
        <w:tblW w:w="9240" w:type="dxa"/>
        <w:tblLook w:val="04A0"/>
      </w:tblPr>
      <w:tblGrid>
        <w:gridCol w:w="876"/>
        <w:gridCol w:w="3530"/>
        <w:gridCol w:w="2392"/>
        <w:gridCol w:w="2442"/>
      </w:tblGrid>
      <w:tr w:rsidR="00DA7F54" w:rsidRPr="00BF65C2" w:rsidTr="0033520A">
        <w:trPr>
          <w:trHeight w:val="351"/>
        </w:trPr>
        <w:tc>
          <w:tcPr>
            <w:tcW w:w="876" w:type="dxa"/>
          </w:tcPr>
          <w:p w:rsidR="00110E53" w:rsidRPr="00BF65C2" w:rsidRDefault="000872FA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Giriş no</w:t>
            </w:r>
          </w:p>
        </w:tc>
        <w:tc>
          <w:tcPr>
            <w:tcW w:w="3530" w:type="dxa"/>
          </w:tcPr>
          <w:p w:rsidR="00110E53" w:rsidRPr="00BF65C2" w:rsidRDefault="003B7AA4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Madde</w:t>
            </w:r>
            <w:r w:rsidR="00E5720E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, maddeler grubunun </w:t>
            </w: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veya</w:t>
            </w:r>
            <w:r w:rsidR="00E5720E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karışımın tanımı (</w:t>
            </w: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</w:t>
            </w:r>
            <w:r w:rsidR="00C21451"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Kolon 1 </w:t>
            </w:r>
            <w:r w:rsidR="00E5720E">
              <w:rPr>
                <w:rFonts w:ascii="Times New Roman" w:hAnsi="Times New Roman" w:cs="Times New Roman"/>
                <w:b/>
                <w:noProof/>
                <w:lang w:val="en-US"/>
              </w:rPr>
              <w:t>)</w:t>
            </w:r>
            <w:r w:rsidR="00C21451"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</w:t>
            </w:r>
          </w:p>
        </w:tc>
        <w:tc>
          <w:tcPr>
            <w:tcW w:w="4834" w:type="dxa"/>
            <w:gridSpan w:val="2"/>
          </w:tcPr>
          <w:p w:rsidR="00110E53" w:rsidRPr="00BF65C2" w:rsidRDefault="00C21451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Kısıtlama Koşulu (Kolon 2) </w:t>
            </w:r>
          </w:p>
        </w:tc>
      </w:tr>
      <w:tr w:rsidR="00DA7F54" w:rsidRPr="00BF65C2" w:rsidTr="0033520A">
        <w:trPr>
          <w:trHeight w:val="429"/>
        </w:trPr>
        <w:tc>
          <w:tcPr>
            <w:tcW w:w="876" w:type="dxa"/>
          </w:tcPr>
          <w:p w:rsidR="00110E53" w:rsidRPr="00BF65C2" w:rsidRDefault="00110E53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6. </w:t>
            </w:r>
          </w:p>
        </w:tc>
        <w:tc>
          <w:tcPr>
            <w:tcW w:w="3530" w:type="dxa"/>
          </w:tcPr>
          <w:p w:rsidR="00110E53" w:rsidRPr="00BF65C2" w:rsidRDefault="009501BB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Asbest </w:t>
            </w:r>
            <w:r w:rsidR="003146B2"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fiberleri</w:t>
            </w:r>
          </w:p>
        </w:tc>
        <w:tc>
          <w:tcPr>
            <w:tcW w:w="4834" w:type="dxa"/>
            <w:gridSpan w:val="2"/>
          </w:tcPr>
          <w:p w:rsidR="00110E53" w:rsidRPr="00BF65C2" w:rsidRDefault="00C21451" w:rsidP="00E57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lang w:val="en-US"/>
              </w:rPr>
            </w:pPr>
            <w:r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>(</w:t>
            </w:r>
            <w:r w:rsidR="003146B2"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>ilk paragrafta değişiklik</w:t>
            </w:r>
            <w:r w:rsidR="003B7AA4"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>)</w:t>
            </w:r>
            <w:r w:rsidR="003B7AA4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3146B2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Bu  fiberlerin ve kasıtlı olarak  ilave edilmesi  suretiyle bu fiberleri   ihtiva eden eşyaların ve </w:t>
            </w:r>
            <w:r w:rsidR="003146B2" w:rsidRPr="00BB3A72">
              <w:rPr>
                <w:rFonts w:ascii="Times New Roman" w:hAnsi="Times New Roman" w:cs="Times New Roman"/>
                <w:b/>
                <w:noProof/>
                <w:lang w:val="en-US"/>
              </w:rPr>
              <w:t>karışımların</w:t>
            </w:r>
            <w:r w:rsidR="003146B2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 pazara sunulması ve kullanımları yasaklanmıştır.</w:t>
            </w:r>
          </w:p>
        </w:tc>
      </w:tr>
      <w:tr w:rsidR="00DA7F54" w:rsidRPr="00BF65C2" w:rsidTr="0033520A">
        <w:trPr>
          <w:trHeight w:val="959"/>
        </w:trPr>
        <w:tc>
          <w:tcPr>
            <w:tcW w:w="876" w:type="dxa"/>
          </w:tcPr>
          <w:p w:rsidR="00110E53" w:rsidRPr="00BF65C2" w:rsidRDefault="003146B2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16. </w:t>
            </w:r>
          </w:p>
        </w:tc>
        <w:tc>
          <w:tcPr>
            <w:tcW w:w="3530" w:type="dxa"/>
          </w:tcPr>
          <w:p w:rsidR="00110E53" w:rsidRPr="00BF65C2" w:rsidRDefault="003146B2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K</w:t>
            </w:r>
            <w:r w:rsidR="00110E53"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urşun karbonatlar</w:t>
            </w:r>
          </w:p>
        </w:tc>
        <w:tc>
          <w:tcPr>
            <w:tcW w:w="4834" w:type="dxa"/>
            <w:gridSpan w:val="2"/>
          </w:tcPr>
          <w:p w:rsidR="00110E53" w:rsidRPr="00BF65C2" w:rsidRDefault="003B7AA4" w:rsidP="008F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en-US"/>
              </w:rPr>
            </w:pPr>
            <w:r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>(</w:t>
            </w:r>
            <w:r w:rsidR="00110E53"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>2. paragraf</w:t>
            </w:r>
            <w:r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>ta değişiklik)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Bununla birlikte, Üye Devletler, 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Uluslararası </w:t>
            </w:r>
            <w:r w:rsidR="00B14776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Çalışma 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Organizasyonu (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>ILO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)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Sözleşmesi</w:t>
            </w:r>
            <w:r w:rsidR="00B14776" w:rsidRPr="00BF65C2">
              <w:rPr>
                <w:rFonts w:ascii="Times New Roman" w:hAnsi="Times New Roman" w:cs="Times New Roman"/>
                <w:noProof/>
                <w:lang w:val="en-US"/>
              </w:rPr>
              <w:t>’nin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13 hükümleri uyarınca, </w:t>
            </w:r>
            <w:r w:rsidR="00110E53" w:rsidRPr="008F4357">
              <w:rPr>
                <w:rFonts w:ascii="Times New Roman" w:hAnsi="Times New Roman" w:cs="Times New Roman"/>
                <w:b/>
                <w:noProof/>
                <w:lang w:val="en-US"/>
              </w:rPr>
              <w:t>bu maddelerin veya bu maddeleri içeren karışımların</w:t>
            </w:r>
            <w:r w:rsidR="008F4357">
              <w:rPr>
                <w:rFonts w:ascii="Times New Roman" w:hAnsi="Times New Roman" w:cs="Times New Roman"/>
                <w:b/>
                <w:noProof/>
                <w:lang w:val="en-US"/>
              </w:rPr>
              <w:t>,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sanat eserleri, tarihi binalar ve onların iç kısımlarının restorasyonu ve bakımı için kullanımlarına  kendi topraklarında izin verebildiği gibi </w:t>
            </w:r>
            <w:r w:rsidR="00110E53" w:rsidRPr="00BB3A72">
              <w:rPr>
                <w:rFonts w:ascii="Times New Roman" w:hAnsi="Times New Roman" w:cs="Times New Roman"/>
                <w:b/>
                <w:noProof/>
                <w:lang w:val="en-US"/>
              </w:rPr>
              <w:t>böyle bir kullanım</w:t>
            </w:r>
            <w:r w:rsidR="00BB3A72" w:rsidRPr="00BB3A7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a yönelik </w:t>
            </w:r>
            <w:r w:rsidR="00110E53" w:rsidRPr="00BB3A72">
              <w:rPr>
                <w:rFonts w:ascii="Times New Roman" w:hAnsi="Times New Roman" w:cs="Times New Roman"/>
                <w:b/>
                <w:noProof/>
                <w:lang w:val="en-US"/>
              </w:rPr>
              <w:t>AB pazarına sürülme</w:t>
            </w:r>
            <w:r w:rsidR="008F4357">
              <w:rPr>
                <w:rFonts w:ascii="Times New Roman" w:hAnsi="Times New Roman" w:cs="Times New Roman"/>
                <w:b/>
                <w:noProof/>
                <w:lang w:val="en-US"/>
              </w:rPr>
              <w:t>lerine</w:t>
            </w:r>
            <w:r w:rsidR="00110E53" w:rsidRPr="00BB3A7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izin verebilir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. </w:t>
            </w:r>
            <w:r w:rsidR="00110E53" w:rsidRPr="00BB3A72">
              <w:rPr>
                <w:rFonts w:ascii="Times New Roman" w:hAnsi="Times New Roman" w:cs="Times New Roman"/>
                <w:b/>
                <w:noProof/>
                <w:lang w:val="en-US"/>
              </w:rPr>
              <w:t>Bu kısıtlamayı kullanan Üye Ülkeler, Komisyon’u  bilgilendireceklerdir.</w:t>
            </w:r>
          </w:p>
        </w:tc>
      </w:tr>
      <w:tr w:rsidR="00DA7F54" w:rsidRPr="00BF65C2" w:rsidTr="0033520A">
        <w:trPr>
          <w:trHeight w:val="1304"/>
        </w:trPr>
        <w:tc>
          <w:tcPr>
            <w:tcW w:w="876" w:type="dxa"/>
          </w:tcPr>
          <w:p w:rsidR="00110E53" w:rsidRPr="00BF65C2" w:rsidRDefault="003146B2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17.</w:t>
            </w:r>
          </w:p>
        </w:tc>
        <w:tc>
          <w:tcPr>
            <w:tcW w:w="3530" w:type="dxa"/>
          </w:tcPr>
          <w:p w:rsidR="00110E53" w:rsidRPr="00BF65C2" w:rsidRDefault="003146B2" w:rsidP="00E5720E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K</w:t>
            </w:r>
            <w:r w:rsidR="00110E53"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urşun sülfatlar</w:t>
            </w:r>
          </w:p>
        </w:tc>
        <w:tc>
          <w:tcPr>
            <w:tcW w:w="4834" w:type="dxa"/>
            <w:gridSpan w:val="2"/>
          </w:tcPr>
          <w:p w:rsidR="00B14776" w:rsidRPr="00BF65C2" w:rsidRDefault="00B14776" w:rsidP="008F43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lang w:val="en-US"/>
              </w:rPr>
            </w:pPr>
            <w:r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>(2. paragrafta değişiklik)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 Bununla birlikte, Üye Devletler, Uluslararası Çalışma  Organizasyonu (ILO) Sözleşmesi’nin 13 hükümleri uyarınca, </w:t>
            </w:r>
            <w:r w:rsidRPr="008F4357">
              <w:rPr>
                <w:rFonts w:ascii="Times New Roman" w:hAnsi="Times New Roman" w:cs="Times New Roman"/>
                <w:b/>
                <w:noProof/>
                <w:lang w:val="en-US"/>
              </w:rPr>
              <w:t>bu maddelerin veya bu maddeleri içeren karışımların</w:t>
            </w:r>
            <w:r w:rsidR="008F4357">
              <w:rPr>
                <w:rFonts w:ascii="Times New Roman" w:hAnsi="Times New Roman" w:cs="Times New Roman"/>
                <w:b/>
                <w:noProof/>
                <w:lang w:val="en-US"/>
              </w:rPr>
              <w:t>,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sanat eserleri, tarihi binalar ve onların iç kısımlarının restorasyonu ve bakımı için kullanımlarına  kendi topraklarında izin verebildiği gibi </w:t>
            </w:r>
            <w:r w:rsidRPr="008F4357">
              <w:rPr>
                <w:rFonts w:ascii="Times New Roman" w:hAnsi="Times New Roman" w:cs="Times New Roman"/>
                <w:b/>
                <w:noProof/>
                <w:lang w:val="en-US"/>
              </w:rPr>
              <w:t>böyle bir kullanım</w:t>
            </w:r>
            <w:r w:rsidR="008F4357" w:rsidRPr="008F4357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a yönelik </w:t>
            </w:r>
            <w:r w:rsidRPr="008F4357">
              <w:rPr>
                <w:rFonts w:ascii="Times New Roman" w:hAnsi="Times New Roman" w:cs="Times New Roman"/>
                <w:b/>
                <w:noProof/>
                <w:lang w:val="en-US"/>
              </w:rPr>
              <w:t>AB pazarına sürülme</w:t>
            </w:r>
            <w:r w:rsidR="008F4357" w:rsidRPr="008F4357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lerine </w:t>
            </w:r>
            <w:r w:rsidRPr="008F4357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izin verebilir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. Bu kısıtlamayı kullanan Üye Ülkeler, Komisyon’u  bilgilendireceklerdir.</w:t>
            </w:r>
          </w:p>
        </w:tc>
      </w:tr>
      <w:tr w:rsidR="00DA7F54" w:rsidRPr="00BF65C2" w:rsidTr="0033520A">
        <w:trPr>
          <w:trHeight w:val="569"/>
        </w:trPr>
        <w:tc>
          <w:tcPr>
            <w:tcW w:w="876" w:type="dxa"/>
          </w:tcPr>
          <w:p w:rsidR="00110E53" w:rsidRPr="00BF65C2" w:rsidRDefault="00B14776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28.,29., 30.</w:t>
            </w:r>
          </w:p>
        </w:tc>
        <w:tc>
          <w:tcPr>
            <w:tcW w:w="3530" w:type="dxa"/>
          </w:tcPr>
          <w:p w:rsidR="00B14776" w:rsidRPr="00BF65C2" w:rsidRDefault="00B14776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CMR’lar </w:t>
            </w:r>
          </w:p>
          <w:p w:rsidR="00B14776" w:rsidRPr="00BF65C2" w:rsidRDefault="00B14776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(Kanserojen, Mutagen ve Üreme için Toksik) olarak sınıflandırılanlar </w:t>
            </w:r>
          </w:p>
        </w:tc>
        <w:tc>
          <w:tcPr>
            <w:tcW w:w="4834" w:type="dxa"/>
            <w:gridSpan w:val="2"/>
          </w:tcPr>
          <w:p w:rsidR="00110E53" w:rsidRPr="00BF65C2" w:rsidRDefault="00737126" w:rsidP="005026DE">
            <w:pPr>
              <w:jc w:val="both"/>
              <w:rPr>
                <w:rFonts w:ascii="Times New Roman" w:hAnsi="Times New Roman" w:cs="Times New Roman"/>
                <w:noProof/>
                <w:lang w:val="en-US"/>
              </w:rPr>
            </w:pPr>
            <w:r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(İlk paragrafın </w:t>
            </w:r>
            <w:r w:rsidR="00110E53"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5. </w:t>
            </w:r>
            <w:r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>satır</w:t>
            </w:r>
            <w:r w:rsidR="005026DE">
              <w:rPr>
                <w:rFonts w:ascii="Times New Roman" w:hAnsi="Times New Roman" w:cs="Times New Roman"/>
                <w:b/>
                <w:noProof/>
                <w:lang w:val="en-US"/>
              </w:rPr>
              <w:t>ında</w:t>
            </w:r>
            <w:r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değişiklik)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>1272/2008 EC no</w:t>
            </w:r>
            <w:r w:rsidR="00266EE4" w:rsidRPr="00BF65C2">
              <w:rPr>
                <w:rFonts w:ascii="Times New Roman" w:hAnsi="Times New Roman" w:cs="Times New Roman"/>
                <w:noProof/>
                <w:lang w:val="en-US"/>
              </w:rPr>
              <w:t>’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>lu Tüzü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ğün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6358B9" w:rsidRPr="00BF65C2">
              <w:rPr>
                <w:rFonts w:ascii="Times New Roman" w:hAnsi="Times New Roman" w:cs="Times New Roman"/>
                <w:noProof/>
                <w:lang w:val="en-US"/>
              </w:rPr>
              <w:t>Ek VI’sı 3.bölümünde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spesifik konsantrasyon limitinin </w:t>
            </w:r>
            <w:r w:rsidR="00266EE4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mevcut 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>olmadığı durumlarda 1999/45/EC sayılı Direktif</w:t>
            </w:r>
            <w:r w:rsidR="006358B9" w:rsidRPr="00BF65C2">
              <w:rPr>
                <w:rFonts w:ascii="Times New Roman" w:hAnsi="Times New Roman" w:cs="Times New Roman"/>
                <w:noProof/>
                <w:lang w:val="en-US"/>
              </w:rPr>
              <w:t>i’nde</w:t>
            </w:r>
            <w:r w:rsidR="00110E5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belirtilen ilgili konsantrasyon. </w:t>
            </w:r>
          </w:p>
        </w:tc>
      </w:tr>
      <w:tr w:rsidR="0033520A" w:rsidRPr="00BF65C2" w:rsidTr="0033520A">
        <w:trPr>
          <w:trHeight w:val="563"/>
        </w:trPr>
        <w:tc>
          <w:tcPr>
            <w:tcW w:w="876" w:type="dxa"/>
          </w:tcPr>
          <w:p w:rsidR="0033520A" w:rsidRPr="00BF65C2" w:rsidRDefault="0033520A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42.</w:t>
            </w:r>
          </w:p>
        </w:tc>
        <w:tc>
          <w:tcPr>
            <w:tcW w:w="8364" w:type="dxa"/>
            <w:gridSpan w:val="3"/>
          </w:tcPr>
          <w:p w:rsidR="0033520A" w:rsidRDefault="0033520A" w:rsidP="005026DE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color w:val="000000"/>
                <w:lang w:val="en-US"/>
              </w:rPr>
              <w:t>C 10 -C 13 , klorlu alkanlar (kısa zincirli klorlu parafinler) (SCCPs)</w:t>
            </w:r>
          </w:p>
          <w:p w:rsidR="0033520A" w:rsidRPr="0033520A" w:rsidRDefault="0033520A" w:rsidP="005026DE">
            <w:pPr>
              <w:jc w:val="center"/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Silindi</w:t>
            </w:r>
            <w:r w:rsidR="008F69CF">
              <w:rPr>
                <w:rFonts w:ascii="Times New Roman" w:hAnsi="Times New Roman" w:cs="Times New Roman"/>
                <w:noProof/>
                <w:color w:val="000000"/>
                <w:lang w:val="en-US"/>
              </w:rPr>
              <w:t xml:space="preserve"> </w:t>
            </w:r>
            <w:r w:rsidR="008F69CF" w:rsidRPr="008F69CF"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lang w:val="en-US"/>
              </w:rPr>
              <w:t>(</w:t>
            </w:r>
            <w:r w:rsidR="008F69CF" w:rsidRPr="008F69CF">
              <w:rPr>
                <w:rFonts w:ascii="Times New Roman" w:hAnsi="Times New Roman"/>
                <w:sz w:val="18"/>
                <w:szCs w:val="18"/>
              </w:rPr>
              <w:t xml:space="preserve"> Kalıcı Organik Kirleticilere ilişkin 850/2004 EC sayılı Komisyon Tüzüğü kapsamında)</w:t>
            </w:r>
          </w:p>
        </w:tc>
      </w:tr>
      <w:tr w:rsidR="0033520A" w:rsidRPr="00BF65C2" w:rsidTr="0033520A">
        <w:trPr>
          <w:trHeight w:val="1250"/>
        </w:trPr>
        <w:tc>
          <w:tcPr>
            <w:tcW w:w="876" w:type="dxa"/>
          </w:tcPr>
          <w:p w:rsidR="002E74E5" w:rsidRPr="00BF65C2" w:rsidRDefault="002E74E5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47. </w:t>
            </w:r>
          </w:p>
        </w:tc>
        <w:tc>
          <w:tcPr>
            <w:tcW w:w="3530" w:type="dxa"/>
          </w:tcPr>
          <w:p w:rsidR="002E74E5" w:rsidRPr="00BF65C2" w:rsidRDefault="00436DA5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Krom (VI) bileşikleri</w:t>
            </w:r>
          </w:p>
        </w:tc>
        <w:tc>
          <w:tcPr>
            <w:tcW w:w="4834" w:type="dxa"/>
            <w:gridSpan w:val="2"/>
          </w:tcPr>
          <w:p w:rsidR="002E74E5" w:rsidRPr="00BF65C2" w:rsidRDefault="002E74E5" w:rsidP="0033520A">
            <w:pPr>
              <w:jc w:val="both"/>
              <w:rPr>
                <w:rFonts w:ascii="Times New Roman" w:hAnsi="Times New Roman" w:cs="Times New Roman"/>
                <w:noProof/>
                <w:lang w:val="en-US"/>
              </w:rPr>
            </w:pPr>
            <w:r w:rsidRPr="0033520A">
              <w:rPr>
                <w:rFonts w:ascii="Times New Roman" w:hAnsi="Times New Roman" w:cs="Times New Roman"/>
                <w:b/>
                <w:noProof/>
                <w:lang w:val="en-US"/>
              </w:rPr>
              <w:t>(4. paragraf eklendi)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3819C3" w:rsidRPr="00BF65C2">
              <w:rPr>
                <w:rFonts w:ascii="Times New Roman" w:hAnsi="Times New Roman" w:cs="Times New Roman"/>
                <w:noProof/>
                <w:lang w:val="en-US"/>
              </w:rPr>
              <w:t>Ç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imento ve çimento içeren karışımlar içindeki suda ç</w:t>
            </w:r>
            <w:r w:rsidR="00436DA5" w:rsidRPr="00BF65C2">
              <w:rPr>
                <w:rFonts w:ascii="Times New Roman" w:hAnsi="Times New Roman" w:cs="Times New Roman"/>
                <w:noProof/>
                <w:lang w:val="en-US"/>
              </w:rPr>
              <w:t>özünen krom (VI) içerik test</w:t>
            </w:r>
            <w:r w:rsidR="003819C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i, </w:t>
            </w:r>
            <w:r w:rsidR="00436DA5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3819C3"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birinci paragrafa uyumun sağlandığının gösterilmesi  amacıyla 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Avrupa Standardizasyon Komitesi (CEN) tarafından kabul edilen standart test metodu</w:t>
            </w:r>
            <w:r w:rsidR="00436DA5" w:rsidRPr="00BF65C2">
              <w:rPr>
                <w:rFonts w:ascii="Times New Roman" w:hAnsi="Times New Roman" w:cs="Times New Roman"/>
                <w:noProof/>
                <w:lang w:val="en-US"/>
              </w:rPr>
              <w:t>na göre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 </w:t>
            </w:r>
            <w:r w:rsidR="00436DA5" w:rsidRPr="00BF65C2">
              <w:rPr>
                <w:rFonts w:ascii="Times New Roman" w:hAnsi="Times New Roman" w:cs="Times New Roman"/>
                <w:noProof/>
                <w:lang w:val="en-US"/>
              </w:rPr>
              <w:t>yapılmalıdır.</w:t>
            </w:r>
          </w:p>
          <w:p w:rsidR="002E74E5" w:rsidRPr="00BF65C2" w:rsidRDefault="002E74E5" w:rsidP="00E5720E">
            <w:pPr>
              <w:rPr>
                <w:rFonts w:ascii="Times New Roman" w:hAnsi="Times New Roman" w:cs="Times New Roman"/>
                <w:noProof/>
                <w:lang w:val="en-US"/>
              </w:rPr>
            </w:pPr>
          </w:p>
        </w:tc>
      </w:tr>
      <w:tr w:rsidR="00A13184" w:rsidRPr="00BF65C2" w:rsidTr="0033520A">
        <w:trPr>
          <w:trHeight w:val="1985"/>
        </w:trPr>
        <w:tc>
          <w:tcPr>
            <w:tcW w:w="876" w:type="dxa"/>
          </w:tcPr>
          <w:p w:rsidR="002E74E5" w:rsidRPr="00BF65C2" w:rsidRDefault="00436DA5" w:rsidP="00E5720E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56.</w:t>
            </w:r>
          </w:p>
        </w:tc>
        <w:tc>
          <w:tcPr>
            <w:tcW w:w="5922" w:type="dxa"/>
            <w:gridSpan w:val="2"/>
          </w:tcPr>
          <w:p w:rsidR="00DA7F54" w:rsidRPr="00BF65C2" w:rsidRDefault="003819C3" w:rsidP="00E5720E">
            <w:pPr>
              <w:rPr>
                <w:rFonts w:ascii="Times New Roman" w:eastAsia="Arial Unicode MS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eastAsia="Arial Unicode MS" w:hAnsi="Times New Roman" w:cs="Times New Roman"/>
                <w:b/>
                <w:noProof/>
                <w:lang w:val="en-US"/>
              </w:rPr>
              <w:t>Metilendifenil diizosiyanat (MDI)</w:t>
            </w:r>
            <w:r w:rsidR="00DA7F54" w:rsidRPr="00BF65C2">
              <w:rPr>
                <w:rFonts w:ascii="Times New Roman" w:eastAsia="Arial Unicode MS" w:hAnsi="Times New Roman" w:cs="Times New Roman"/>
                <w:b/>
                <w:noProof/>
                <w:lang w:val="en-US"/>
              </w:rPr>
              <w:t xml:space="preserve"> </w:t>
            </w:r>
          </w:p>
          <w:p w:rsidR="003819C3" w:rsidRPr="00BF65C2" w:rsidRDefault="003819C3" w:rsidP="00E5720E">
            <w:pPr>
              <w:rPr>
                <w:rFonts w:ascii="Times New Roman" w:eastAsia="Arial Unicode MS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eastAsia="Arial Unicode MS" w:hAnsi="Times New Roman" w:cs="Times New Roman"/>
                <w:noProof/>
                <w:lang w:val="en-US"/>
              </w:rPr>
              <w:t>(3 izomeri için daha EC ve CAS numaraları dahil edildi).</w:t>
            </w:r>
          </w:p>
          <w:p w:rsidR="0033520A" w:rsidRDefault="003819C3" w:rsidP="00E5720E">
            <w:pPr>
              <w:pStyle w:val="CM4"/>
              <w:numPr>
                <w:ilvl w:val="0"/>
                <w:numId w:val="4"/>
              </w:numPr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4,4’-Methylenediphenyl diisocyanate:</w:t>
            </w:r>
          </w:p>
          <w:p w:rsidR="003819C3" w:rsidRPr="0033520A" w:rsidRDefault="003819C3" w:rsidP="0033520A">
            <w:pPr>
              <w:pStyle w:val="CM4"/>
              <w:ind w:left="360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CAS No 101-68-8 </w:t>
            </w:r>
            <w:r w:rsidRPr="0033520A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EC No 202-966-0; </w:t>
            </w:r>
          </w:p>
          <w:p w:rsidR="003819C3" w:rsidRPr="00BF65C2" w:rsidRDefault="003819C3" w:rsidP="00E5720E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(b) 2,4’-Methylenediphenyl diisocyanate: </w:t>
            </w:r>
          </w:p>
          <w:p w:rsidR="003819C3" w:rsidRPr="00BF65C2" w:rsidRDefault="0033520A" w:rsidP="00E5720E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      </w:t>
            </w:r>
            <w:r w:rsidR="003819C3" w:rsidRPr="00BF65C2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CAS No 5873-54-1 EC No 227-534-9; </w:t>
            </w:r>
          </w:p>
          <w:p w:rsidR="00A13184" w:rsidRPr="00BF65C2" w:rsidRDefault="003819C3" w:rsidP="00E5720E">
            <w:pPr>
              <w:pStyle w:val="CM4"/>
              <w:numPr>
                <w:ilvl w:val="0"/>
                <w:numId w:val="4"/>
              </w:numPr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2,2’-Methylenediphenyl diisocyanate:</w:t>
            </w:r>
          </w:p>
          <w:p w:rsidR="000872FA" w:rsidRPr="00BF65C2" w:rsidRDefault="0033520A" w:rsidP="00E5720E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      </w:t>
            </w:r>
            <w:r w:rsidR="00A13184" w:rsidRPr="00BF65C2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CAS No 2536-05-2 </w:t>
            </w:r>
            <w:r w:rsidR="003819C3" w:rsidRPr="00BF65C2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EC No 219-799-4’</w:t>
            </w:r>
          </w:p>
        </w:tc>
        <w:tc>
          <w:tcPr>
            <w:tcW w:w="2442" w:type="dxa"/>
          </w:tcPr>
          <w:p w:rsidR="002E74E5" w:rsidRPr="00BF65C2" w:rsidRDefault="003819C3" w:rsidP="00E5720E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lang w:val="en-US"/>
              </w:rPr>
              <w:t>Kısıtlama koşullarında değişiklik yapılmadı.</w:t>
            </w:r>
          </w:p>
        </w:tc>
      </w:tr>
    </w:tbl>
    <w:p w:rsidR="007750F0" w:rsidRPr="00BF65C2" w:rsidRDefault="00FB67AD" w:rsidP="00F4514C">
      <w:pPr>
        <w:rPr>
          <w:rFonts w:ascii="Times New Roman" w:hAnsi="Times New Roman" w:cs="Times New Roman"/>
          <w:b/>
          <w:u w:val="single"/>
        </w:rPr>
      </w:pPr>
      <w:r w:rsidRPr="00FB67AD">
        <w:rPr>
          <w:rFonts w:ascii="Times New Roman" w:hAnsi="Times New Roman" w:cs="Times New Roman"/>
          <w:b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.3pt;margin-top:-15.75pt;width:473.25pt;height:57.75pt;z-index:251658240;mso-position-horizontal-relative:text;mso-position-vertical-relative:text" strokecolor="white [3212]">
            <v:textbox style="mso-next-textbox:#_x0000_s1027">
              <w:txbxContent>
                <w:p w:rsidR="00A13184" w:rsidRDefault="00A13184">
                  <w:pPr>
                    <w:rPr>
                      <w:u w:val="single"/>
                    </w:rPr>
                  </w:pPr>
                </w:p>
                <w:p w:rsidR="00A13184" w:rsidRPr="00BF65C2" w:rsidRDefault="00A131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F65C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EK </w:t>
                  </w:r>
                  <w:r w:rsidRPr="00BF65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BF65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BF65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F65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REACH  Tüzüğü Ek XVII ve eklentilerde (</w:t>
                  </w:r>
                  <w:r w:rsidRPr="00BF65C2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  <w:t>appendix)</w:t>
                  </w:r>
                  <w:r w:rsidRPr="00BF65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yapılan değişiklikler </w:t>
                  </w:r>
                </w:p>
              </w:txbxContent>
            </v:textbox>
          </v:shape>
        </w:pict>
      </w:r>
    </w:p>
    <w:p w:rsidR="00E94217" w:rsidRPr="00BF65C2" w:rsidRDefault="00E94217" w:rsidP="00F4514C">
      <w:pPr>
        <w:rPr>
          <w:rFonts w:ascii="Times New Roman" w:hAnsi="Times New Roman" w:cs="Times New Roman"/>
        </w:rPr>
      </w:pPr>
    </w:p>
    <w:p w:rsidR="00BF65C2" w:rsidRDefault="00BF65C2" w:rsidP="00F4514C">
      <w:pPr>
        <w:rPr>
          <w:rFonts w:ascii="Times New Roman" w:hAnsi="Times New Roman" w:cs="Times New Roman"/>
          <w:b/>
        </w:rPr>
      </w:pPr>
    </w:p>
    <w:p w:rsidR="000872FA" w:rsidRPr="00BF65C2" w:rsidRDefault="000872FA" w:rsidP="00F4514C">
      <w:pPr>
        <w:rPr>
          <w:rFonts w:ascii="Times New Roman" w:hAnsi="Times New Roman" w:cs="Times New Roman"/>
          <w:b/>
          <w:noProof/>
          <w:lang w:val="en-US"/>
        </w:rPr>
      </w:pPr>
      <w:r w:rsidRPr="00BF65C2">
        <w:rPr>
          <w:rFonts w:ascii="Times New Roman" w:hAnsi="Times New Roman" w:cs="Times New Roman"/>
          <w:b/>
          <w:noProof/>
          <w:lang w:val="en-US"/>
        </w:rPr>
        <w:t>REACH  Tüzüğü Ek XVII ve</w:t>
      </w:r>
      <w:r w:rsidR="00CB7D38">
        <w:rPr>
          <w:rFonts w:ascii="Times New Roman" w:hAnsi="Times New Roman" w:cs="Times New Roman"/>
          <w:b/>
          <w:noProof/>
          <w:lang w:val="en-US"/>
        </w:rPr>
        <w:t xml:space="preserve"> E</w:t>
      </w:r>
      <w:r w:rsidRPr="00BF65C2">
        <w:rPr>
          <w:rFonts w:ascii="Times New Roman" w:hAnsi="Times New Roman" w:cs="Times New Roman"/>
          <w:b/>
          <w:noProof/>
          <w:lang w:val="en-US"/>
        </w:rPr>
        <w:t>klentilerde (</w:t>
      </w:r>
      <w:r w:rsidR="00CB7D38">
        <w:rPr>
          <w:rFonts w:ascii="Times New Roman" w:hAnsi="Times New Roman" w:cs="Times New Roman"/>
          <w:b/>
          <w:noProof/>
          <w:lang w:val="en-US"/>
        </w:rPr>
        <w:t>A</w:t>
      </w:r>
      <w:r w:rsidRPr="00BF65C2">
        <w:rPr>
          <w:rFonts w:ascii="Times New Roman" w:hAnsi="Times New Roman" w:cs="Times New Roman"/>
          <w:b/>
          <w:noProof/>
          <w:lang w:val="en-US"/>
        </w:rPr>
        <w:t xml:space="preserve">ppendix)  yapılan değişiklikler </w:t>
      </w:r>
    </w:p>
    <w:tbl>
      <w:tblPr>
        <w:tblStyle w:val="TabloKlavuzu"/>
        <w:tblpPr w:leftFromText="141" w:rightFromText="141" w:vertAnchor="text" w:horzAnchor="margin" w:tblpY="65"/>
        <w:tblW w:w="0" w:type="auto"/>
        <w:tblLook w:val="04A0"/>
      </w:tblPr>
      <w:tblGrid>
        <w:gridCol w:w="4786"/>
        <w:gridCol w:w="4426"/>
      </w:tblGrid>
      <w:tr w:rsidR="000872FA" w:rsidRPr="00BF65C2" w:rsidTr="00706373">
        <w:tc>
          <w:tcPr>
            <w:tcW w:w="4786" w:type="dxa"/>
          </w:tcPr>
          <w:p w:rsidR="000872FA" w:rsidRPr="00BF65C2" w:rsidRDefault="000872FA" w:rsidP="00034778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Değişikliğin yapıldığı  </w:t>
            </w:r>
            <w:r w:rsidR="00034778">
              <w:rPr>
                <w:rFonts w:ascii="Times New Roman" w:hAnsi="Times New Roman" w:cs="Times New Roman"/>
                <w:b/>
                <w:noProof/>
                <w:lang w:val="en-US"/>
              </w:rPr>
              <w:t>E</w:t>
            </w: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klenti </w:t>
            </w:r>
            <w:r w:rsidR="00BF65C2"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(</w:t>
            </w:r>
            <w:r w:rsidR="00034778">
              <w:rPr>
                <w:rFonts w:ascii="Times New Roman" w:hAnsi="Times New Roman" w:cs="Times New Roman"/>
                <w:b/>
                <w:noProof/>
                <w:lang w:val="en-US"/>
              </w:rPr>
              <w:t>A</w:t>
            </w:r>
            <w:r w:rsidR="00BF65C2"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>ppendix)</w:t>
            </w:r>
          </w:p>
        </w:tc>
        <w:tc>
          <w:tcPr>
            <w:tcW w:w="4426" w:type="dxa"/>
          </w:tcPr>
          <w:p w:rsidR="000872FA" w:rsidRPr="00BF65C2" w:rsidRDefault="00BF65C2" w:rsidP="000872FA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Yapılan değişiklik </w:t>
            </w:r>
          </w:p>
        </w:tc>
      </w:tr>
      <w:tr w:rsidR="000872FA" w:rsidRPr="00BF65C2" w:rsidTr="00706373">
        <w:tc>
          <w:tcPr>
            <w:tcW w:w="4786" w:type="dxa"/>
          </w:tcPr>
          <w:p w:rsidR="00706373" w:rsidRDefault="00706373" w:rsidP="00706373">
            <w:pPr>
              <w:rPr>
                <w:rFonts w:ascii="Times New Roman" w:hAnsi="Times New Roman" w:cs="Times New Roman"/>
                <w:noProof/>
                <w:lang w:val="en-US"/>
              </w:rPr>
            </w:pPr>
          </w:p>
          <w:p w:rsidR="000872FA" w:rsidRPr="00BF65C2" w:rsidRDefault="000872FA" w:rsidP="00706373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REACH Tüzüğü Ek XVII’nin 29. </w:t>
            </w:r>
            <w:r w:rsidR="00706373">
              <w:rPr>
                <w:rFonts w:ascii="Times New Roman" w:hAnsi="Times New Roman" w:cs="Times New Roman"/>
                <w:noProof/>
                <w:lang w:val="en-US"/>
              </w:rPr>
              <w:t>G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irişi</w:t>
            </w:r>
            <w:r w:rsidR="00706373">
              <w:rPr>
                <w:rFonts w:ascii="Times New Roman" w:hAnsi="Times New Roman" w:cs="Times New Roman"/>
                <w:noProof/>
                <w:lang w:val="en-US"/>
              </w:rPr>
              <w:t xml:space="preserve">yle kısıtlanan 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706373">
              <w:rPr>
                <w:rFonts w:ascii="Times New Roman" w:hAnsi="Times New Roman" w:cs="Times New Roman"/>
                <w:noProof/>
                <w:lang w:val="en-US"/>
              </w:rPr>
              <w:t>“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mutajen olarak sınıflandırılan kimyasallar</w:t>
            </w:r>
            <w:r w:rsidR="00706373">
              <w:rPr>
                <w:rFonts w:ascii="Times New Roman" w:hAnsi="Times New Roman" w:cs="Times New Roman"/>
                <w:noProof/>
                <w:lang w:val="en-US"/>
              </w:rPr>
              <w:t>”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ın  listelendiği  </w:t>
            </w:r>
            <w:r w:rsidRPr="00706373">
              <w:rPr>
                <w:rFonts w:ascii="Times New Roman" w:hAnsi="Times New Roman" w:cs="Times New Roman"/>
                <w:b/>
                <w:noProof/>
                <w:lang w:val="en-US"/>
              </w:rPr>
              <w:t>Eklenti  (Appendix) 4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</w:p>
        </w:tc>
        <w:tc>
          <w:tcPr>
            <w:tcW w:w="4426" w:type="dxa"/>
          </w:tcPr>
          <w:p w:rsidR="000872FA" w:rsidRPr="00BF65C2" w:rsidRDefault="000872FA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</w:p>
          <w:p w:rsidR="00706373" w:rsidRDefault="000872FA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(5. kolonda değişiklik)  </w:t>
            </w:r>
          </w:p>
          <w:p w:rsidR="000872FA" w:rsidRPr="00BF65C2" w:rsidRDefault="000872FA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5. kolondaki E, H, S notları kaldırıldı. </w:t>
            </w:r>
          </w:p>
        </w:tc>
      </w:tr>
      <w:tr w:rsidR="000872FA" w:rsidRPr="00BF65C2" w:rsidTr="00706373">
        <w:tc>
          <w:tcPr>
            <w:tcW w:w="4786" w:type="dxa"/>
          </w:tcPr>
          <w:p w:rsidR="00706373" w:rsidRDefault="00706373" w:rsidP="00706373">
            <w:pPr>
              <w:rPr>
                <w:rFonts w:ascii="Times New Roman" w:hAnsi="Times New Roman" w:cs="Times New Roman"/>
                <w:noProof/>
                <w:lang w:val="en-US"/>
              </w:rPr>
            </w:pPr>
          </w:p>
          <w:p w:rsidR="000872FA" w:rsidRPr="00BF65C2" w:rsidRDefault="000872FA" w:rsidP="00706373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REACH Tüzüğü  Ek XVII’nin 30. </w:t>
            </w:r>
            <w:r w:rsidR="00706373">
              <w:rPr>
                <w:rFonts w:ascii="Times New Roman" w:hAnsi="Times New Roman" w:cs="Times New Roman"/>
                <w:noProof/>
                <w:lang w:val="en-US"/>
              </w:rPr>
              <w:t>g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irişi</w:t>
            </w:r>
            <w:r w:rsidR="00706373">
              <w:rPr>
                <w:rFonts w:ascii="Times New Roman" w:hAnsi="Times New Roman" w:cs="Times New Roman"/>
                <w:noProof/>
                <w:lang w:val="en-US"/>
              </w:rPr>
              <w:t>yle kısıtlanan”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üreme için toksik</w:t>
            </w:r>
            <w:r w:rsidR="00706373">
              <w:rPr>
                <w:rFonts w:ascii="Times New Roman" w:hAnsi="Times New Roman" w:cs="Times New Roman"/>
                <w:noProof/>
                <w:lang w:val="en-US"/>
              </w:rPr>
              <w:t>”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olarak sınıflandırılan kimyasalların listelendiği   </w:t>
            </w:r>
            <w:r w:rsidRPr="00706373">
              <w:rPr>
                <w:rFonts w:ascii="Times New Roman" w:hAnsi="Times New Roman" w:cs="Times New Roman"/>
                <w:b/>
                <w:noProof/>
                <w:lang w:val="en-US"/>
              </w:rPr>
              <w:t>Eklenti (Appendix) 6 ‘da</w:t>
            </w:r>
            <w:r w:rsidR="00706373" w:rsidRPr="00706373">
              <w:rPr>
                <w:rFonts w:ascii="Times New Roman" w:hAnsi="Times New Roman" w:cs="Times New Roman"/>
                <w:b/>
                <w:noProof/>
                <w:lang w:val="en-US"/>
              </w:rPr>
              <w:t>ki</w:t>
            </w:r>
            <w:r w:rsidRPr="00706373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</w:t>
            </w:r>
            <w:r w:rsidRPr="00706373">
              <w:rPr>
                <w:rFonts w:ascii="Times New Roman" w:hAnsi="Times New Roman" w:cs="Times New Roman"/>
                <w:b/>
                <w:noProof/>
                <w:color w:val="000000"/>
                <w:lang w:val="en-US"/>
              </w:rPr>
              <w:t xml:space="preserve"> </w:t>
            </w:r>
            <w:r w:rsidRPr="00706373">
              <w:rPr>
                <w:rFonts w:ascii="Times New Roman" w:hAnsi="Times New Roman" w:cs="Times New Roman"/>
                <w:b/>
                <w:noProof/>
                <w:lang w:val="en-US"/>
              </w:rPr>
              <w:t xml:space="preserve"> </w:t>
            </w:r>
            <w:r w:rsidRPr="00706373">
              <w:rPr>
                <w:rFonts w:ascii="Times New Roman" w:hAnsi="Times New Roman" w:cs="Times New Roman"/>
                <w:b/>
                <w:noProof/>
                <w:color w:val="000000"/>
                <w:lang w:val="en-US"/>
              </w:rPr>
              <w:t xml:space="preserve">diizopentilfitalat </w:t>
            </w:r>
            <w:r w:rsidRPr="00706373">
              <w:rPr>
                <w:rFonts w:ascii="Times New Roman" w:hAnsi="Times New Roman" w:cs="Times New Roman"/>
                <w:b/>
                <w:noProof/>
                <w:lang w:val="en-US"/>
              </w:rPr>
              <w:t>[4]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.</w:t>
            </w:r>
          </w:p>
        </w:tc>
        <w:tc>
          <w:tcPr>
            <w:tcW w:w="4426" w:type="dxa"/>
          </w:tcPr>
          <w:p w:rsidR="00706373" w:rsidRPr="00706373" w:rsidRDefault="00706373" w:rsidP="000872FA">
            <w:pPr>
              <w:pStyle w:val="CM43"/>
              <w:spacing w:before="60" w:after="60"/>
              <w:rPr>
                <w:noProof/>
                <w:sz w:val="16"/>
                <w:szCs w:val="16"/>
                <w:lang w:val="en-US"/>
              </w:rPr>
            </w:pPr>
          </w:p>
          <w:p w:rsidR="000872FA" w:rsidRPr="00BF65C2" w:rsidRDefault="000872FA" w:rsidP="000872FA">
            <w:pPr>
              <w:pStyle w:val="CM43"/>
              <w:spacing w:before="60" w:after="60"/>
              <w:rPr>
                <w:noProof/>
                <w:color w:val="000000"/>
                <w:sz w:val="22"/>
                <w:szCs w:val="22"/>
                <w:lang w:val="en-US"/>
              </w:rPr>
            </w:pPr>
            <w:r w:rsidRPr="00BF65C2">
              <w:rPr>
                <w:noProof/>
                <w:sz w:val="22"/>
                <w:szCs w:val="22"/>
                <w:lang w:val="en-US"/>
              </w:rPr>
              <w:t xml:space="preserve">(3. ve 4. kolonlarda değişiklik) </w:t>
            </w:r>
          </w:p>
          <w:p w:rsidR="000872FA" w:rsidRPr="00BF65C2" w:rsidRDefault="000872FA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color w:val="000000"/>
                <w:lang w:val="en-US"/>
              </w:rPr>
              <w:t xml:space="preserve">Diizopentilfitalat 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[4] </w:t>
            </w:r>
            <w:r w:rsidRPr="00BF65C2">
              <w:rPr>
                <w:rFonts w:ascii="Times New Roman" w:hAnsi="Times New Roman" w:cs="Times New Roman"/>
                <w:noProof/>
                <w:color w:val="000000"/>
                <w:lang w:val="en-US"/>
              </w:rPr>
              <w:t xml:space="preserve"> için  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3. ve 4. kolonlar   doğru EC ve CAS numaraları (210-088-4  [4] ve 605-50-5[4])  ile düzeltilmiştir.</w:t>
            </w:r>
          </w:p>
          <w:p w:rsidR="000872FA" w:rsidRPr="00BF65C2" w:rsidRDefault="000872FA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</w:p>
        </w:tc>
      </w:tr>
      <w:tr w:rsidR="000872FA" w:rsidRPr="00BF65C2" w:rsidTr="0038611C">
        <w:trPr>
          <w:trHeight w:val="1749"/>
        </w:trPr>
        <w:tc>
          <w:tcPr>
            <w:tcW w:w="4786" w:type="dxa"/>
          </w:tcPr>
          <w:p w:rsidR="00706373" w:rsidRDefault="00706373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</w:p>
          <w:p w:rsidR="000872FA" w:rsidRPr="00BF65C2" w:rsidRDefault="000872FA" w:rsidP="00447BD5">
            <w:pPr>
              <w:rPr>
                <w:rFonts w:ascii="Times New Roman" w:hAnsi="Times New Roman" w:cs="Times New Roman"/>
                <w:b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lang w:val="en-US"/>
              </w:rPr>
              <w:t>REACH Tüzüğü  Ek XVII</w:t>
            </w:r>
            <w:r w:rsidR="00447BD5">
              <w:rPr>
                <w:rFonts w:ascii="Times New Roman" w:hAnsi="Times New Roman" w:cs="Times New Roman"/>
                <w:noProof/>
                <w:lang w:val="en-US"/>
              </w:rPr>
              <w:t>-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 43. </w:t>
            </w:r>
            <w:r w:rsidR="00447BD5">
              <w:rPr>
                <w:rFonts w:ascii="Times New Roman" w:hAnsi="Times New Roman" w:cs="Times New Roman"/>
                <w:noProof/>
                <w:lang w:val="en-US"/>
              </w:rPr>
              <w:t>g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iriş</w:t>
            </w:r>
            <w:r w:rsidR="00447BD5">
              <w:rPr>
                <w:rFonts w:ascii="Times New Roman" w:hAnsi="Times New Roman" w:cs="Times New Roman"/>
                <w:noProof/>
                <w:lang w:val="en-US"/>
              </w:rPr>
              <w:t>le kısıtlanan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Azorenklendiricilerin ve azoboyaların test metodlarının listelendiği </w:t>
            </w:r>
            <w:r w:rsidRPr="00447BD5">
              <w:rPr>
                <w:rFonts w:ascii="Times New Roman" w:hAnsi="Times New Roman" w:cs="Times New Roman"/>
                <w:b/>
                <w:noProof/>
                <w:lang w:val="en-US"/>
              </w:rPr>
              <w:t>Eklenti  (Appendix)10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>.</w:t>
            </w:r>
          </w:p>
        </w:tc>
        <w:tc>
          <w:tcPr>
            <w:tcW w:w="4426" w:type="dxa"/>
          </w:tcPr>
          <w:p w:rsidR="00706373" w:rsidRDefault="00706373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</w:p>
          <w:p w:rsidR="00706373" w:rsidRDefault="000872FA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lang w:val="en-US"/>
              </w:rPr>
              <w:t>(değişiklik)</w:t>
            </w:r>
          </w:p>
          <w:p w:rsidR="000872FA" w:rsidRPr="00706373" w:rsidRDefault="000872FA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Azorenklendiriciler ve azoboyaların  test metodlarına  </w:t>
            </w:r>
            <w:r w:rsidR="00706373">
              <w:rPr>
                <w:rFonts w:ascii="Times New Roman" w:hAnsi="Times New Roman" w:cs="Times New Roman"/>
                <w:noProof/>
                <w:lang w:val="en-US"/>
              </w:rPr>
              <w:t>ilişkin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  Avrupa Standardizasyon Komitesi (CEN) tarafından </w:t>
            </w:r>
            <w:r w:rsidR="00706373">
              <w:rPr>
                <w:rFonts w:ascii="Times New Roman" w:hAnsi="Times New Roman" w:cs="Times New Roman"/>
                <w:noProof/>
                <w:lang w:val="en-US"/>
              </w:rPr>
              <w:t xml:space="preserve">benimsenen  4 yeni standart  ile </w:t>
            </w:r>
            <w:r w:rsidRPr="00BF65C2">
              <w:rPr>
                <w:rFonts w:ascii="Times New Roman" w:hAnsi="Times New Roman" w:cs="Times New Roman"/>
                <w:noProof/>
                <w:lang w:val="en-US"/>
              </w:rPr>
              <w:t xml:space="preserve">güncellenmiştir. </w:t>
            </w:r>
            <w:r w:rsidRPr="00BF65C2">
              <w:rPr>
                <w:rFonts w:ascii="Times New Roman" w:hAnsi="Times New Roman" w:cs="Times New Roman"/>
                <w:i/>
                <w:noProof/>
                <w:lang w:val="en-US"/>
              </w:rPr>
              <w:t>Ayrıntıları  aşağıdaki tabloda belirtilmiştir.</w:t>
            </w:r>
          </w:p>
          <w:p w:rsidR="000872FA" w:rsidRPr="00BF65C2" w:rsidRDefault="000872FA" w:rsidP="000872FA">
            <w:pPr>
              <w:rPr>
                <w:rFonts w:ascii="Times New Roman" w:hAnsi="Times New Roman" w:cs="Times New Roman"/>
                <w:noProof/>
                <w:lang w:val="en-US"/>
              </w:rPr>
            </w:pPr>
          </w:p>
        </w:tc>
      </w:tr>
    </w:tbl>
    <w:p w:rsidR="004E2E4E" w:rsidRPr="00BF65C2" w:rsidRDefault="004E2E4E" w:rsidP="00437675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10. Ek</w:t>
      </w:r>
      <w:r w:rsidR="00A13184"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lenti </w:t>
      </w:r>
      <w:r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(Appendix)</w:t>
      </w:r>
    </w:p>
    <w:p w:rsidR="003C7D81" w:rsidRDefault="004E2E4E" w:rsidP="00437675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43. Giriş </w:t>
      </w:r>
      <w:r w:rsidR="00415FCE"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-A</w:t>
      </w:r>
      <w:r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zoboyalar-Test metodlarının listesi</w:t>
      </w:r>
      <w:r w:rsidR="003C7D81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</w:t>
      </w:r>
    </w:p>
    <w:p w:rsidR="004E2E4E" w:rsidRPr="00BF65C2" w:rsidRDefault="004E2E4E" w:rsidP="00437675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Test meto</w:t>
      </w:r>
      <w:r w:rsidR="00BF65C2"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t</w:t>
      </w:r>
      <w:r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larının listesi</w:t>
      </w:r>
      <w:r w:rsidR="00A13184" w:rsidRPr="00BF65C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(güncellendi)</w:t>
      </w:r>
    </w:p>
    <w:tbl>
      <w:tblPr>
        <w:tblStyle w:val="TabloKlavuzu"/>
        <w:tblW w:w="9322" w:type="dxa"/>
        <w:tblLayout w:type="fixed"/>
        <w:tblLook w:val="04A0"/>
      </w:tblPr>
      <w:tblGrid>
        <w:gridCol w:w="1809"/>
        <w:gridCol w:w="5529"/>
        <w:gridCol w:w="1984"/>
      </w:tblGrid>
      <w:tr w:rsidR="00415FCE" w:rsidRPr="001C755C" w:rsidTr="0038611C">
        <w:trPr>
          <w:trHeight w:val="689"/>
        </w:trPr>
        <w:tc>
          <w:tcPr>
            <w:tcW w:w="1809" w:type="dxa"/>
          </w:tcPr>
          <w:p w:rsidR="00415FCE" w:rsidRPr="001C755C" w:rsidRDefault="00415FCE" w:rsidP="00415FCE">
            <w:pPr>
              <w:pStyle w:val="CM1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en-US"/>
              </w:rPr>
              <w:t>Avrupa Standardizasyon Organizasyonu</w:t>
            </w:r>
          </w:p>
        </w:tc>
        <w:tc>
          <w:tcPr>
            <w:tcW w:w="5529" w:type="dxa"/>
          </w:tcPr>
          <w:p w:rsidR="00415FCE" w:rsidRPr="001C755C" w:rsidRDefault="00415FCE" w:rsidP="00DB07AF">
            <w:pPr>
              <w:pStyle w:val="CM3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en-US"/>
              </w:rPr>
              <w:t>Harmonize standardın referansı ve başlığı</w:t>
            </w:r>
          </w:p>
        </w:tc>
        <w:tc>
          <w:tcPr>
            <w:tcW w:w="1984" w:type="dxa"/>
          </w:tcPr>
          <w:p w:rsidR="00415FCE" w:rsidRPr="001C755C" w:rsidRDefault="00415FCE" w:rsidP="00DB07AF">
            <w:pPr>
              <w:pStyle w:val="CM4"/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2"/>
                <w:lang w:val="en-US"/>
              </w:rPr>
              <w:t xml:space="preserve">Yürürlükteki referans standart </w:t>
            </w:r>
          </w:p>
        </w:tc>
      </w:tr>
      <w:tr w:rsidR="00415FCE" w:rsidRPr="001C755C" w:rsidTr="0038611C">
        <w:tc>
          <w:tcPr>
            <w:tcW w:w="1809" w:type="dxa"/>
          </w:tcPr>
          <w:p w:rsidR="00415FCE" w:rsidRPr="001C755C" w:rsidRDefault="00415FCE" w:rsidP="00DB07AF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CEN </w:t>
            </w:r>
          </w:p>
        </w:tc>
        <w:tc>
          <w:tcPr>
            <w:tcW w:w="5529" w:type="dxa"/>
          </w:tcPr>
          <w:p w:rsidR="00415FCE" w:rsidRPr="001C755C" w:rsidRDefault="00415FCE" w:rsidP="00EC21C2">
            <w:pPr>
              <w:pStyle w:val="CM4"/>
              <w:rPr>
                <w:rFonts w:ascii="Times New Roman" w:hAnsi="Times New Roman" w:cs="Times New Roman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/>
                <w:bCs/>
                <w:noProof/>
                <w:color w:val="000000"/>
                <w:sz w:val="22"/>
                <w:szCs w:val="22"/>
                <w:lang w:val="en-US"/>
              </w:rPr>
              <w:t>EN ISO 17234-1:2010</w:t>
            </w:r>
          </w:p>
          <w:p w:rsidR="00415FCE" w:rsidRPr="001C755C" w:rsidRDefault="00415FCE" w:rsidP="00EC21C2">
            <w:pPr>
              <w:pStyle w:val="CM1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 xml:space="preserve">Deri-  boyanmış derilerdeki </w:t>
            </w:r>
            <w:r w:rsidR="004744EF" w:rsidRPr="001C755C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bazı</w:t>
            </w:r>
            <w:r w:rsidRPr="001C755C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 xml:space="preserve"> azo boyaların belirlenmesi için kimyasal test</w:t>
            </w:r>
            <w:r w:rsidR="00EC21C2" w:rsidRPr="001C755C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ler-</w:t>
            </w:r>
            <w:r w:rsidRPr="001C755C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 xml:space="preserve">Bölüm 1: </w:t>
            </w:r>
            <w:r w:rsidR="00EC21C2" w:rsidRPr="001C755C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“</w:t>
            </w:r>
            <w:r w:rsidR="00EC21C2"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Determination of certain aromatic amines derived from azo colorants”. </w:t>
            </w:r>
          </w:p>
        </w:tc>
        <w:tc>
          <w:tcPr>
            <w:tcW w:w="1984" w:type="dxa"/>
          </w:tcPr>
          <w:p w:rsidR="00415FCE" w:rsidRPr="001C755C" w:rsidRDefault="00415FCE" w:rsidP="00DB07AF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CEN ISO/TS 17234:2003 </w:t>
            </w:r>
          </w:p>
        </w:tc>
      </w:tr>
      <w:tr w:rsidR="00415FCE" w:rsidRPr="001C755C" w:rsidTr="0038611C">
        <w:tc>
          <w:tcPr>
            <w:tcW w:w="1809" w:type="dxa"/>
          </w:tcPr>
          <w:p w:rsidR="00415FCE" w:rsidRPr="001C755C" w:rsidRDefault="00415FCE" w:rsidP="00DB07AF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CEN </w:t>
            </w:r>
          </w:p>
        </w:tc>
        <w:tc>
          <w:tcPr>
            <w:tcW w:w="5529" w:type="dxa"/>
          </w:tcPr>
          <w:p w:rsidR="004744EF" w:rsidRPr="001C755C" w:rsidRDefault="00415FCE" w:rsidP="004744EF">
            <w:pPr>
              <w:pStyle w:val="CM4"/>
              <w:rPr>
                <w:rFonts w:ascii="Times New Roman" w:hAnsi="Times New Roman" w:cs="Times New Roman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/>
                <w:bCs/>
                <w:noProof/>
                <w:color w:val="000000"/>
                <w:sz w:val="22"/>
                <w:szCs w:val="22"/>
                <w:lang w:val="en-US"/>
              </w:rPr>
              <w:t xml:space="preserve">EN ISO 17234-2:2011 </w:t>
            </w:r>
          </w:p>
          <w:p w:rsidR="00415FCE" w:rsidRPr="001C755C" w:rsidRDefault="004744EF" w:rsidP="004744EF">
            <w:pPr>
              <w:pStyle w:val="CM1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Cs/>
                <w:noProof/>
                <w:color w:val="000000"/>
                <w:sz w:val="22"/>
                <w:szCs w:val="22"/>
                <w:lang w:val="en-US"/>
              </w:rPr>
              <w:t>Deri</w:t>
            </w:r>
            <w:r w:rsidR="00415FCE"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—</w:t>
            </w: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 boyanmış derilerde</w:t>
            </w:r>
            <w:r w:rsidR="00415FCE"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</w:t>
            </w: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belirli azo boyaların  belirlenmesi için kimyasal testler</w:t>
            </w:r>
            <w:r w:rsidR="00415FCE"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— </w:t>
            </w: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Bölüm 2</w:t>
            </w:r>
            <w:r w:rsidR="00415FCE"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:</w:t>
            </w: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” Determination of 4-aminoazobenzene”</w:t>
            </w:r>
          </w:p>
        </w:tc>
        <w:tc>
          <w:tcPr>
            <w:tcW w:w="1984" w:type="dxa"/>
          </w:tcPr>
          <w:p w:rsidR="00415FCE" w:rsidRPr="001C755C" w:rsidRDefault="00415FCE" w:rsidP="00415FCE">
            <w:pPr>
              <w:pStyle w:val="CM1"/>
              <w:jc w:val="center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</w:p>
          <w:p w:rsidR="00415FCE" w:rsidRPr="001C755C" w:rsidRDefault="00415FCE" w:rsidP="00415FCE">
            <w:pPr>
              <w:pStyle w:val="CM3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</w:p>
          <w:p w:rsidR="00415FCE" w:rsidRPr="001C755C" w:rsidRDefault="00415FCE" w:rsidP="00415FCE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CEN ISO/TS 17234:2003</w:t>
            </w:r>
          </w:p>
        </w:tc>
      </w:tr>
      <w:tr w:rsidR="00415FCE" w:rsidRPr="001C755C" w:rsidTr="0038611C">
        <w:tc>
          <w:tcPr>
            <w:tcW w:w="1809" w:type="dxa"/>
          </w:tcPr>
          <w:p w:rsidR="00415FCE" w:rsidRPr="001C755C" w:rsidRDefault="004744EF" w:rsidP="00DB07AF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CEN</w:t>
            </w:r>
          </w:p>
        </w:tc>
        <w:tc>
          <w:tcPr>
            <w:tcW w:w="5529" w:type="dxa"/>
          </w:tcPr>
          <w:p w:rsidR="004744EF" w:rsidRPr="001C755C" w:rsidRDefault="004744EF" w:rsidP="004744EF">
            <w:pPr>
              <w:pStyle w:val="CM4"/>
              <w:rPr>
                <w:rFonts w:ascii="Times New Roman" w:hAnsi="Times New Roman" w:cs="Times New Roman"/>
                <w:b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/>
                <w:bCs/>
                <w:noProof/>
                <w:color w:val="000000"/>
                <w:sz w:val="22"/>
                <w:szCs w:val="22"/>
                <w:lang w:val="en-US"/>
              </w:rPr>
              <w:t xml:space="preserve">EN 14362-1:2012 </w:t>
            </w:r>
          </w:p>
          <w:p w:rsidR="00415FCE" w:rsidRPr="001C755C" w:rsidRDefault="004744EF" w:rsidP="00EC21C2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Cs/>
                <w:noProof/>
                <w:color w:val="000000"/>
                <w:sz w:val="22"/>
                <w:szCs w:val="22"/>
                <w:lang w:val="en-US"/>
              </w:rPr>
              <w:t>Tekstiller</w:t>
            </w: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—Azo boyalardan türeyen </w:t>
            </w:r>
            <w:r w:rsidR="00EC21C2"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bazı</w:t>
            </w: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aromatik aminleri tespit etme metodları- Bölüm 1: “Detection of the use of certain azo colorants accessible with and without extracting the fibres”</w:t>
            </w:r>
          </w:p>
        </w:tc>
        <w:tc>
          <w:tcPr>
            <w:tcW w:w="1984" w:type="dxa"/>
          </w:tcPr>
          <w:p w:rsidR="00EC21C2" w:rsidRPr="001C755C" w:rsidRDefault="00EC21C2" w:rsidP="00EC21C2">
            <w:pPr>
              <w:pStyle w:val="CM3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</w:p>
          <w:p w:rsidR="001C755C" w:rsidRPr="001C755C" w:rsidRDefault="00EC21C2" w:rsidP="00EC21C2">
            <w:pPr>
              <w:pStyle w:val="CM3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EN 14362-1:2003 </w:t>
            </w:r>
          </w:p>
          <w:p w:rsidR="001C755C" w:rsidRPr="001C755C" w:rsidRDefault="001C755C" w:rsidP="00EC21C2">
            <w:pPr>
              <w:pStyle w:val="CM3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</w:p>
          <w:p w:rsidR="00415FCE" w:rsidRPr="001C755C" w:rsidRDefault="00EC21C2" w:rsidP="00EC21C2">
            <w:pPr>
              <w:pStyle w:val="CM3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>EN 14362-2:2003</w:t>
            </w:r>
          </w:p>
          <w:p w:rsidR="00415FCE" w:rsidRPr="001C755C" w:rsidRDefault="00415FCE" w:rsidP="00415FCE">
            <w:pPr>
              <w:pStyle w:val="CM4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</w:p>
        </w:tc>
      </w:tr>
      <w:tr w:rsidR="00415FCE" w:rsidRPr="001C755C" w:rsidTr="0038611C">
        <w:tc>
          <w:tcPr>
            <w:tcW w:w="1809" w:type="dxa"/>
          </w:tcPr>
          <w:p w:rsidR="00415FCE" w:rsidRPr="001C755C" w:rsidRDefault="00EC21C2" w:rsidP="00DB07AF">
            <w:pPr>
              <w:rPr>
                <w:rFonts w:ascii="Times New Roman" w:hAnsi="Times New Roman" w:cs="Times New Roman"/>
                <w:noProof/>
                <w:lang w:val="en-US"/>
              </w:rPr>
            </w:pPr>
            <w:r w:rsidRPr="001C755C">
              <w:rPr>
                <w:rFonts w:ascii="Times New Roman" w:hAnsi="Times New Roman" w:cs="Times New Roman"/>
                <w:noProof/>
                <w:color w:val="000000"/>
                <w:lang w:val="en-US"/>
              </w:rPr>
              <w:t>CEN</w:t>
            </w:r>
          </w:p>
        </w:tc>
        <w:tc>
          <w:tcPr>
            <w:tcW w:w="5529" w:type="dxa"/>
          </w:tcPr>
          <w:p w:rsidR="00EC21C2" w:rsidRPr="001C755C" w:rsidRDefault="00EC21C2" w:rsidP="00EC21C2">
            <w:pPr>
              <w:pStyle w:val="CM1"/>
              <w:rPr>
                <w:rFonts w:ascii="Times New Roman" w:hAnsi="Times New Roman" w:cs="Times New Roman"/>
                <w:bCs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/>
                <w:bCs/>
                <w:noProof/>
                <w:color w:val="000000"/>
                <w:sz w:val="22"/>
                <w:szCs w:val="22"/>
                <w:lang w:val="en-US"/>
              </w:rPr>
              <w:t>EN 14362-3:2012</w:t>
            </w:r>
          </w:p>
          <w:p w:rsidR="00415FCE" w:rsidRPr="001C755C" w:rsidRDefault="004744EF" w:rsidP="00EC21C2">
            <w:pPr>
              <w:pStyle w:val="CM1"/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</w:pPr>
            <w:r w:rsidRPr="001C755C">
              <w:rPr>
                <w:rFonts w:ascii="Times New Roman" w:hAnsi="Times New Roman" w:cs="Times New Roman"/>
                <w:bCs/>
                <w:noProof/>
                <w:color w:val="000000"/>
                <w:sz w:val="22"/>
                <w:szCs w:val="22"/>
                <w:lang w:val="en-US"/>
              </w:rPr>
              <w:t>Tekstiller</w:t>
            </w: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 —</w:t>
            </w:r>
            <w:r w:rsidR="00EC21C2"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Azoboyalardan türeyen bazı</w:t>
            </w: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aromatik </w:t>
            </w:r>
            <w:r w:rsidR="00EC21C2"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 aminleri belirleme metodları- Bölüm 3</w:t>
            </w:r>
            <w:r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: </w:t>
            </w:r>
            <w:r w:rsidR="00EC21C2" w:rsidRPr="001C755C"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  <w:lang w:val="en-US"/>
              </w:rPr>
              <w:t xml:space="preserve">“Detection of the use of certain azo colorants, which may release 4-aminoazobenzene”. </w:t>
            </w:r>
          </w:p>
        </w:tc>
        <w:tc>
          <w:tcPr>
            <w:tcW w:w="1984" w:type="dxa"/>
          </w:tcPr>
          <w:p w:rsidR="00415FCE" w:rsidRPr="001C755C" w:rsidRDefault="00415FCE" w:rsidP="00DB07AF">
            <w:pPr>
              <w:rPr>
                <w:rFonts w:ascii="Times New Roman" w:hAnsi="Times New Roman" w:cs="Times New Roman"/>
                <w:noProof/>
                <w:lang w:val="en-US"/>
              </w:rPr>
            </w:pPr>
          </w:p>
        </w:tc>
      </w:tr>
    </w:tbl>
    <w:p w:rsidR="0038611C" w:rsidRPr="0038611C" w:rsidRDefault="0038611C" w:rsidP="00F4514C">
      <w:pPr>
        <w:rPr>
          <w:rFonts w:ascii="Times New Roman" w:hAnsi="Times New Roman" w:cs="Times New Roman"/>
          <w:noProof/>
          <w:sz w:val="16"/>
          <w:szCs w:val="16"/>
          <w:lang w:val="en-US"/>
        </w:rPr>
      </w:pPr>
    </w:p>
    <w:p w:rsidR="0083011A" w:rsidRDefault="003C7D81" w:rsidP="00F4514C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43767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REACH Tüzüğü’nün </w:t>
      </w:r>
      <w:r w:rsidR="00B402D4" w:rsidRPr="0043767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Eklentilerine (A</w:t>
      </w:r>
      <w:r w:rsidR="00437675">
        <w:rPr>
          <w:rFonts w:ascii="Times New Roman" w:hAnsi="Times New Roman" w:cs="Times New Roman"/>
          <w:noProof/>
          <w:sz w:val="24"/>
          <w:szCs w:val="24"/>
          <w:lang w:val="en-US"/>
        </w:rPr>
        <w:t>pp</w:t>
      </w:r>
      <w:r w:rsidR="00B402D4" w:rsidRPr="0043767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endix)  </w:t>
      </w:r>
      <w:hyperlink r:id="rId6" w:history="1">
        <w:r w:rsidR="00B402D4" w:rsidRPr="00437675">
          <w:rPr>
            <w:rStyle w:val="Kpr"/>
            <w:rFonts w:ascii="Times New Roman" w:hAnsi="Times New Roman" w:cs="Times New Roman"/>
            <w:noProof/>
            <w:sz w:val="24"/>
            <w:szCs w:val="24"/>
            <w:lang w:val="en-US"/>
          </w:rPr>
          <w:t xml:space="preserve">en son 09.10.2012 tarihinde birleştirilmiş </w:t>
        </w:r>
        <w:r w:rsidR="00437675" w:rsidRPr="00437675">
          <w:rPr>
            <w:rStyle w:val="Kpr"/>
            <w:rFonts w:ascii="Times New Roman" w:hAnsi="Times New Roman" w:cs="Times New Roman"/>
            <w:noProof/>
            <w:sz w:val="24"/>
            <w:szCs w:val="24"/>
            <w:lang w:val="en-US"/>
          </w:rPr>
          <w:t xml:space="preserve">REACH Tüzüğü </w:t>
        </w:r>
        <w:r w:rsidRPr="00437675">
          <w:rPr>
            <w:rStyle w:val="Kpr"/>
            <w:rFonts w:ascii="Times New Roman" w:hAnsi="Times New Roman" w:cs="Times New Roman"/>
            <w:noProof/>
            <w:sz w:val="24"/>
            <w:szCs w:val="24"/>
            <w:lang w:val="en-US"/>
          </w:rPr>
          <w:t xml:space="preserve"> İngilizce  </w:t>
        </w:r>
        <w:r w:rsidR="00B402D4" w:rsidRPr="00437675">
          <w:rPr>
            <w:rStyle w:val="Kpr"/>
            <w:rFonts w:ascii="Times New Roman" w:hAnsi="Times New Roman" w:cs="Times New Roman"/>
            <w:noProof/>
            <w:sz w:val="24"/>
            <w:szCs w:val="24"/>
            <w:lang w:val="en-US"/>
          </w:rPr>
          <w:t>versiyon</w:t>
        </w:r>
        <w:r w:rsidR="00FB0238">
          <w:rPr>
            <w:rStyle w:val="Kpr"/>
            <w:rFonts w:ascii="Times New Roman" w:hAnsi="Times New Roman" w:cs="Times New Roman"/>
            <w:noProof/>
            <w:sz w:val="24"/>
            <w:szCs w:val="24"/>
            <w:lang w:val="en-US"/>
          </w:rPr>
          <w:t>un</w:t>
        </w:r>
        <w:r w:rsidR="00B402D4" w:rsidRPr="00437675">
          <w:rPr>
            <w:rStyle w:val="Kpr"/>
            <w:rFonts w:ascii="Times New Roman" w:hAnsi="Times New Roman" w:cs="Times New Roman"/>
            <w:noProof/>
            <w:sz w:val="24"/>
            <w:szCs w:val="24"/>
            <w:lang w:val="en-US"/>
          </w:rPr>
          <w:t>dan</w:t>
        </w:r>
      </w:hyperlink>
      <w:r w:rsidR="00B402D4" w:rsidRPr="0043767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FB0238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erişilebilir</w:t>
      </w:r>
      <w:r w:rsidR="00B402D4" w:rsidRPr="0043767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</w:t>
      </w:r>
    </w:p>
    <w:p w:rsidR="00437675" w:rsidRPr="00437675" w:rsidRDefault="00FB0238" w:rsidP="00F4514C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REACH Tüzüğü Kısıtlamalar hakkında detaylı bilgiler,  </w:t>
      </w:r>
      <w:r w:rsidR="0083011A">
        <w:rPr>
          <w:rFonts w:ascii="Times New Roman" w:hAnsi="Times New Roman" w:cs="Times New Roman"/>
          <w:noProof/>
          <w:sz w:val="24"/>
          <w:szCs w:val="24"/>
          <w:lang w:val="en-US"/>
        </w:rPr>
        <w:t>Avrupa Kom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i</w:t>
      </w:r>
      <w:r w:rsidR="0083011A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syonu </w:t>
      </w:r>
      <w:r w:rsidR="00437675">
        <w:rPr>
          <w:rFonts w:ascii="Times New Roman" w:hAnsi="Times New Roman" w:cs="Times New Roman"/>
          <w:noProof/>
          <w:sz w:val="24"/>
          <w:szCs w:val="24"/>
          <w:lang w:val="en-US"/>
        </w:rPr>
        <w:t>websayfasında</w:t>
      </w:r>
      <w:r w:rsidR="0083011A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83011A" w:rsidRPr="00FB0238">
        <w:rPr>
          <w:rFonts w:ascii="Times New Roman" w:hAnsi="Times New Roman" w:cs="Times New Roman"/>
          <w:noProof/>
          <w:lang w:val="en-US"/>
        </w:rPr>
        <w:t>(</w:t>
      </w:r>
      <w:r w:rsidR="00437675" w:rsidRPr="00FB0238">
        <w:rPr>
          <w:rFonts w:ascii="Times New Roman" w:hAnsi="Times New Roman" w:cs="Times New Roman"/>
          <w:noProof/>
          <w:lang w:val="en-US"/>
        </w:rPr>
        <w:t>http://ec.europa.eu/enterprise/sectors/chemicals/reach/restrictions/index_en.htm</w:t>
      </w:r>
      <w:r w:rsidR="0083011A" w:rsidRPr="00FB0238">
        <w:rPr>
          <w:rFonts w:ascii="Times New Roman" w:hAnsi="Times New Roman" w:cs="Times New Roman"/>
          <w:noProof/>
          <w:lang w:val="en-US"/>
        </w:rPr>
        <w:t>)</w:t>
      </w:r>
      <w:r w:rsidR="00437675" w:rsidRPr="0043767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43767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yeralmaktadır.</w:t>
      </w:r>
    </w:p>
    <w:sectPr w:rsidR="00437675" w:rsidRPr="00437675" w:rsidSect="0083011A">
      <w:pgSz w:w="11906" w:h="16838"/>
      <w:pgMar w:top="1170" w:right="128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ex Sans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ex Sans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96E34"/>
    <w:multiLevelType w:val="hybridMultilevel"/>
    <w:tmpl w:val="8430A32A"/>
    <w:lvl w:ilvl="0" w:tplc="D5E085D4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076BA"/>
    <w:multiLevelType w:val="hybridMultilevel"/>
    <w:tmpl w:val="1E888DF6"/>
    <w:lvl w:ilvl="0" w:tplc="B70A755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9939B3"/>
    <w:multiLevelType w:val="hybridMultilevel"/>
    <w:tmpl w:val="806639D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ED2FD1"/>
    <w:multiLevelType w:val="hybridMultilevel"/>
    <w:tmpl w:val="4B2EBB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95C81"/>
    <w:rsid w:val="0001303E"/>
    <w:rsid w:val="000142E5"/>
    <w:rsid w:val="00015373"/>
    <w:rsid w:val="00034778"/>
    <w:rsid w:val="00042C42"/>
    <w:rsid w:val="00086B89"/>
    <w:rsid w:val="000872FA"/>
    <w:rsid w:val="000B0380"/>
    <w:rsid w:val="000D7DE3"/>
    <w:rsid w:val="00110E53"/>
    <w:rsid w:val="00117EF7"/>
    <w:rsid w:val="00135589"/>
    <w:rsid w:val="0014736A"/>
    <w:rsid w:val="00160FA5"/>
    <w:rsid w:val="0019720E"/>
    <w:rsid w:val="001B5D1A"/>
    <w:rsid w:val="001C755C"/>
    <w:rsid w:val="00204278"/>
    <w:rsid w:val="002206AB"/>
    <w:rsid w:val="0022341A"/>
    <w:rsid w:val="00266EE4"/>
    <w:rsid w:val="00274272"/>
    <w:rsid w:val="002831CB"/>
    <w:rsid w:val="002E57CC"/>
    <w:rsid w:val="002E74E5"/>
    <w:rsid w:val="002F32F2"/>
    <w:rsid w:val="00300050"/>
    <w:rsid w:val="00304030"/>
    <w:rsid w:val="003146B2"/>
    <w:rsid w:val="0033520A"/>
    <w:rsid w:val="00367D0A"/>
    <w:rsid w:val="003819C3"/>
    <w:rsid w:val="0038611C"/>
    <w:rsid w:val="003B7AA4"/>
    <w:rsid w:val="003C616C"/>
    <w:rsid w:val="003C787F"/>
    <w:rsid w:val="003C7D81"/>
    <w:rsid w:val="003D64BD"/>
    <w:rsid w:val="003E0C5B"/>
    <w:rsid w:val="004052B1"/>
    <w:rsid w:val="00415FCE"/>
    <w:rsid w:val="00432707"/>
    <w:rsid w:val="00436DA5"/>
    <w:rsid w:val="00437675"/>
    <w:rsid w:val="00447BD5"/>
    <w:rsid w:val="004744EF"/>
    <w:rsid w:val="004E2E4E"/>
    <w:rsid w:val="004E4B06"/>
    <w:rsid w:val="00500407"/>
    <w:rsid w:val="005026DE"/>
    <w:rsid w:val="0052729F"/>
    <w:rsid w:val="0053247D"/>
    <w:rsid w:val="00564B1D"/>
    <w:rsid w:val="005663B8"/>
    <w:rsid w:val="00576076"/>
    <w:rsid w:val="00580012"/>
    <w:rsid w:val="00581D2E"/>
    <w:rsid w:val="005E25E4"/>
    <w:rsid w:val="005E707C"/>
    <w:rsid w:val="006358B9"/>
    <w:rsid w:val="0068134C"/>
    <w:rsid w:val="006C33FB"/>
    <w:rsid w:val="0070543C"/>
    <w:rsid w:val="00706373"/>
    <w:rsid w:val="00732915"/>
    <w:rsid w:val="00737126"/>
    <w:rsid w:val="007416DD"/>
    <w:rsid w:val="0074429C"/>
    <w:rsid w:val="007750F0"/>
    <w:rsid w:val="007A5A70"/>
    <w:rsid w:val="007E6ACE"/>
    <w:rsid w:val="007F7794"/>
    <w:rsid w:val="0083011A"/>
    <w:rsid w:val="008467CA"/>
    <w:rsid w:val="00850FE1"/>
    <w:rsid w:val="00874FBD"/>
    <w:rsid w:val="008B6DA9"/>
    <w:rsid w:val="008C7A20"/>
    <w:rsid w:val="008F4357"/>
    <w:rsid w:val="008F69CF"/>
    <w:rsid w:val="009111B0"/>
    <w:rsid w:val="009341DA"/>
    <w:rsid w:val="009501BB"/>
    <w:rsid w:val="009C0020"/>
    <w:rsid w:val="009F6A2F"/>
    <w:rsid w:val="00A13184"/>
    <w:rsid w:val="00A650B1"/>
    <w:rsid w:val="00AD7410"/>
    <w:rsid w:val="00B07F12"/>
    <w:rsid w:val="00B13348"/>
    <w:rsid w:val="00B14776"/>
    <w:rsid w:val="00B2559C"/>
    <w:rsid w:val="00B402D4"/>
    <w:rsid w:val="00BA66AA"/>
    <w:rsid w:val="00BB3A72"/>
    <w:rsid w:val="00BC2F71"/>
    <w:rsid w:val="00BF65C2"/>
    <w:rsid w:val="00C10F76"/>
    <w:rsid w:val="00C11BBB"/>
    <w:rsid w:val="00C21451"/>
    <w:rsid w:val="00C664DA"/>
    <w:rsid w:val="00CB7D38"/>
    <w:rsid w:val="00CE5F42"/>
    <w:rsid w:val="00D206E1"/>
    <w:rsid w:val="00D276E9"/>
    <w:rsid w:val="00D34CC9"/>
    <w:rsid w:val="00D4493A"/>
    <w:rsid w:val="00D725B4"/>
    <w:rsid w:val="00DA7F54"/>
    <w:rsid w:val="00E316E7"/>
    <w:rsid w:val="00E5720E"/>
    <w:rsid w:val="00E902D2"/>
    <w:rsid w:val="00E94217"/>
    <w:rsid w:val="00E95C81"/>
    <w:rsid w:val="00EB5071"/>
    <w:rsid w:val="00EC21C2"/>
    <w:rsid w:val="00EF732B"/>
    <w:rsid w:val="00F26ED0"/>
    <w:rsid w:val="00F4514C"/>
    <w:rsid w:val="00F4584B"/>
    <w:rsid w:val="00F60260"/>
    <w:rsid w:val="00F74FF9"/>
    <w:rsid w:val="00FB0238"/>
    <w:rsid w:val="00FB67AD"/>
    <w:rsid w:val="00FC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6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E95C81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E95C81"/>
    <w:rPr>
      <w:b/>
      <w:bCs/>
    </w:rPr>
  </w:style>
  <w:style w:type="paragraph" w:styleId="NormalWeb">
    <w:name w:val="Normal (Web)"/>
    <w:basedOn w:val="Normal"/>
    <w:unhideWhenUsed/>
    <w:rsid w:val="00E95C81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E95C81"/>
    <w:pPr>
      <w:autoSpaceDE w:val="0"/>
      <w:autoSpaceDN w:val="0"/>
      <w:adjustRightInd w:val="0"/>
      <w:spacing w:after="0" w:line="241" w:lineRule="atLeast"/>
    </w:pPr>
    <w:rPr>
      <w:rFonts w:ascii="Apex Sans Medium" w:eastAsia="Calibri" w:hAnsi="Apex Sans Medium" w:cs="Times New Roman"/>
      <w:b/>
      <w:sz w:val="24"/>
      <w:szCs w:val="24"/>
      <w:lang w:eastAsia="en-US"/>
    </w:rPr>
  </w:style>
  <w:style w:type="character" w:customStyle="1" w:styleId="A6">
    <w:name w:val="A6"/>
    <w:uiPriority w:val="99"/>
    <w:rsid w:val="00E95C81"/>
    <w:rPr>
      <w:rFonts w:ascii="Apex Sans Book" w:hAnsi="Apex Sans Book" w:cs="Apex Sans Book" w:hint="default"/>
      <w:color w:val="000000"/>
      <w:sz w:val="19"/>
      <w:szCs w:val="19"/>
    </w:rPr>
  </w:style>
  <w:style w:type="table" w:styleId="TabloKlavuzu">
    <w:name w:val="Table Grid"/>
    <w:basedOn w:val="NormalTablo"/>
    <w:uiPriority w:val="59"/>
    <w:rsid w:val="00E942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94217"/>
    <w:pPr>
      <w:ind w:left="720"/>
      <w:contextualSpacing/>
    </w:pPr>
  </w:style>
  <w:style w:type="character" w:customStyle="1" w:styleId="hps">
    <w:name w:val="hps"/>
    <w:basedOn w:val="VarsaylanParagrafYazTipi"/>
    <w:rsid w:val="006C33FB"/>
  </w:style>
  <w:style w:type="paragraph" w:customStyle="1" w:styleId="CM1">
    <w:name w:val="CM1"/>
    <w:basedOn w:val="Normal"/>
    <w:next w:val="Normal"/>
    <w:uiPriority w:val="99"/>
    <w:rsid w:val="00732915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732915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732915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3">
    <w:name w:val="CM4+3"/>
    <w:basedOn w:val="Normal"/>
    <w:next w:val="Normal"/>
    <w:uiPriority w:val="99"/>
    <w:rsid w:val="004744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41">
    <w:name w:val="CM4+1"/>
    <w:basedOn w:val="Normal"/>
    <w:next w:val="Normal"/>
    <w:uiPriority w:val="99"/>
    <w:rsid w:val="002E57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41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2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4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79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79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36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81288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7272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ur-lex.europa.eu/LexUriServ/LexUriServ.do?uri=CONSLEG:2006R1907:20121009:EN: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EEB67-BF03-40B9-A44F-F1E238EB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tiryakio</dc:creator>
  <cp:keywords/>
  <dc:description/>
  <cp:lastModifiedBy>tiryakio</cp:lastModifiedBy>
  <cp:revision>2</cp:revision>
  <dcterms:created xsi:type="dcterms:W3CDTF">2013-02-27T10:12:00Z</dcterms:created>
  <dcterms:modified xsi:type="dcterms:W3CDTF">2013-02-27T10:12:00Z</dcterms:modified>
</cp:coreProperties>
</file>